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283BE" w14:textId="77777777" w:rsidR="00811AAC" w:rsidRDefault="00811AAC" w:rsidP="00811AAC">
      <w:r>
        <w:t>Appendix 1 – List of Proposed Amendments to the Constitution</w:t>
      </w:r>
    </w:p>
    <w:p w14:paraId="4A95103A" w14:textId="77777777" w:rsidR="00811AAC" w:rsidRDefault="00811AAC" w:rsidP="00811AAC"/>
    <w:p w14:paraId="539C52D1" w14:textId="77777777" w:rsidR="00811AAC" w:rsidRDefault="00811AAC" w:rsidP="00811AAC">
      <w:r>
        <w:t>Part 4 Who carries out executive responsibilities?</w:t>
      </w:r>
    </w:p>
    <w:p w14:paraId="2F21FC49" w14:textId="77777777" w:rsidR="00811AAC" w:rsidRDefault="00811AAC" w:rsidP="00811AAC"/>
    <w:tbl>
      <w:tblPr>
        <w:tblStyle w:val="TableGrid"/>
        <w:tblW w:w="14174" w:type="dxa"/>
        <w:tblLook w:val="04A0" w:firstRow="1" w:lastRow="0" w:firstColumn="1" w:lastColumn="0" w:noHBand="0" w:noVBand="1"/>
      </w:tblPr>
      <w:tblGrid>
        <w:gridCol w:w="2776"/>
        <w:gridCol w:w="4122"/>
        <w:gridCol w:w="4020"/>
        <w:gridCol w:w="3256"/>
      </w:tblGrid>
      <w:tr w:rsidR="00811AAC" w14:paraId="5A412851" w14:textId="77777777" w:rsidTr="00836F8A">
        <w:tc>
          <w:tcPr>
            <w:tcW w:w="2776" w:type="dxa"/>
          </w:tcPr>
          <w:p w14:paraId="45D846A0" w14:textId="77777777" w:rsidR="00811AAC" w:rsidRDefault="00811AAC" w:rsidP="00836F8A">
            <w:r>
              <w:t>Paragraph</w:t>
            </w:r>
          </w:p>
        </w:tc>
        <w:tc>
          <w:tcPr>
            <w:tcW w:w="4122" w:type="dxa"/>
          </w:tcPr>
          <w:p w14:paraId="151A3441" w14:textId="77777777" w:rsidR="00811AAC" w:rsidRDefault="00811AAC" w:rsidP="00836F8A">
            <w:r>
              <w:t>Current</w:t>
            </w:r>
          </w:p>
        </w:tc>
        <w:tc>
          <w:tcPr>
            <w:tcW w:w="4020" w:type="dxa"/>
          </w:tcPr>
          <w:p w14:paraId="29536A12" w14:textId="77777777" w:rsidR="00811AAC" w:rsidRDefault="00811AAC" w:rsidP="00836F8A">
            <w:r>
              <w:t>Change</w:t>
            </w:r>
          </w:p>
        </w:tc>
        <w:tc>
          <w:tcPr>
            <w:tcW w:w="3256" w:type="dxa"/>
          </w:tcPr>
          <w:p w14:paraId="001900D2" w14:textId="77777777" w:rsidR="00811AAC" w:rsidRDefault="00811AAC" w:rsidP="00836F8A">
            <w:r>
              <w:t>Reason</w:t>
            </w:r>
          </w:p>
        </w:tc>
      </w:tr>
      <w:tr w:rsidR="00803ECC" w14:paraId="3C9DA5AA" w14:textId="77777777" w:rsidTr="00836F8A">
        <w:tc>
          <w:tcPr>
            <w:tcW w:w="2776" w:type="dxa"/>
          </w:tcPr>
          <w:p w14:paraId="2AF54E28" w14:textId="49BE784C" w:rsidR="00803ECC" w:rsidRDefault="00803ECC" w:rsidP="00836F8A">
            <w:r w:rsidRPr="00811AAC">
              <w:t>4.11</w:t>
            </w:r>
            <w:r w:rsidRPr="00811AAC">
              <w:tab/>
              <w:t>Responsibilities not covered by these rules</w:t>
            </w:r>
          </w:p>
          <w:p w14:paraId="10B495D4" w14:textId="33A7FE43" w:rsidR="00803ECC" w:rsidRDefault="00803ECC" w:rsidP="00836F8A">
            <w:r>
              <w:t>Neighbourhood Planning</w:t>
            </w:r>
          </w:p>
        </w:tc>
        <w:tc>
          <w:tcPr>
            <w:tcW w:w="4122" w:type="dxa"/>
          </w:tcPr>
          <w:p w14:paraId="77CD7AD6" w14:textId="0580F465" w:rsidR="00803ECC" w:rsidRDefault="00803ECC" w:rsidP="00836F8A">
            <w:pPr>
              <w:pStyle w:val="dNormParatext"/>
              <w:ind w:left="0"/>
            </w:pPr>
            <w:r>
              <w:t>N/A – new section of 4.11</w:t>
            </w:r>
          </w:p>
        </w:tc>
        <w:tc>
          <w:tcPr>
            <w:tcW w:w="4020" w:type="dxa"/>
          </w:tcPr>
          <w:p w14:paraId="1FB27EBD" w14:textId="4ADB04F8" w:rsidR="00803ECC" w:rsidRDefault="00803ECC" w:rsidP="00836F8A">
            <w:pPr>
              <w:pStyle w:val="dNormParatext"/>
              <w:ind w:left="0"/>
            </w:pPr>
            <w:r>
              <w:t xml:space="preserve">The Cabinet Member with the relevant portfolio will be responsible to designate the </w:t>
            </w:r>
            <w:r w:rsidRPr="00836F8A">
              <w:t>Neighbourhood Area</w:t>
            </w:r>
            <w:r>
              <w:t xml:space="preserve">, to approve or refuse the area designation, </w:t>
            </w:r>
            <w:r w:rsidRPr="00836F8A">
              <w:t>13 weeks from application otherwise must designate all the area.</w:t>
            </w:r>
          </w:p>
        </w:tc>
        <w:tc>
          <w:tcPr>
            <w:tcW w:w="3256" w:type="dxa"/>
            <w:vMerge w:val="restart"/>
          </w:tcPr>
          <w:p w14:paraId="1DB4D009" w14:textId="53CC8843" w:rsidR="00803ECC" w:rsidRDefault="00803ECC" w:rsidP="00836F8A">
            <w:r>
              <w:t>T</w:t>
            </w:r>
            <w:r w:rsidRPr="00681B8C">
              <w:t>he neighbourhood planning regulations have been amended with the aim of increasing the 'speed' at which they can be prepared. This includes introducing timescales for LPA decision making on neighbourhood plans. There are also more recent regulations for dealing with neighbourhood plan reviews and there is also a need to redesignate neighbourhood forums every 5 years.</w:t>
            </w:r>
          </w:p>
        </w:tc>
      </w:tr>
      <w:tr w:rsidR="00803ECC" w14:paraId="55512305" w14:textId="77777777" w:rsidTr="00836F8A">
        <w:tc>
          <w:tcPr>
            <w:tcW w:w="2776" w:type="dxa"/>
          </w:tcPr>
          <w:p w14:paraId="6864B90F" w14:textId="052551A6" w:rsidR="00803ECC" w:rsidRDefault="00803ECC" w:rsidP="00811AAC">
            <w:r w:rsidRPr="00811AAC">
              <w:t>4.11</w:t>
            </w:r>
            <w:r w:rsidRPr="00811AAC">
              <w:tab/>
              <w:t>Responsibilities not covered by these rules</w:t>
            </w:r>
          </w:p>
          <w:p w14:paraId="75F69655" w14:textId="7B1C64D7" w:rsidR="00803ECC" w:rsidRDefault="00803ECC" w:rsidP="00811AAC">
            <w:r>
              <w:t>Neighbourhood Planning</w:t>
            </w:r>
          </w:p>
        </w:tc>
        <w:tc>
          <w:tcPr>
            <w:tcW w:w="4122" w:type="dxa"/>
          </w:tcPr>
          <w:p w14:paraId="0FF228A7" w14:textId="6B5D1CFC" w:rsidR="00803ECC" w:rsidRPr="00EF7117" w:rsidRDefault="00803ECC" w:rsidP="00836F8A">
            <w:pPr>
              <w:pStyle w:val="dNormParatext"/>
              <w:ind w:left="0"/>
            </w:pPr>
            <w:r>
              <w:t>N/A – new section of 4.11</w:t>
            </w:r>
          </w:p>
        </w:tc>
        <w:tc>
          <w:tcPr>
            <w:tcW w:w="4020" w:type="dxa"/>
          </w:tcPr>
          <w:p w14:paraId="580E4630" w14:textId="4D661025" w:rsidR="00803ECC" w:rsidRPr="00EF7117" w:rsidRDefault="00803ECC" w:rsidP="00836F8A">
            <w:pPr>
              <w:pStyle w:val="dNormParatext"/>
              <w:ind w:left="0"/>
            </w:pPr>
            <w:r>
              <w:t>The Director of Planning and Regulation will be re</w:t>
            </w:r>
            <w:r w:rsidRPr="0095644C">
              <w:t xml:space="preserve">sponsible for the </w:t>
            </w:r>
            <w:r w:rsidRPr="00836F8A">
              <w:t>Designated Neighbourhood Area, contiguous with parish are</w:t>
            </w:r>
            <w:r w:rsidRPr="0095644C">
              <w:t>a</w:t>
            </w:r>
            <w:r>
              <w:t xml:space="preserve"> and can approve the area designation only (i.e. </w:t>
            </w:r>
            <w:r w:rsidRPr="00836F8A">
              <w:t>Must legally designate except where part is already designated, or part is separately proposed to be designated at that time</w:t>
            </w:r>
            <w:r>
              <w:t>)</w:t>
            </w:r>
            <w:r w:rsidRPr="00836F8A">
              <w:t>.</w:t>
            </w:r>
          </w:p>
        </w:tc>
        <w:tc>
          <w:tcPr>
            <w:tcW w:w="3256" w:type="dxa"/>
            <w:vMerge/>
          </w:tcPr>
          <w:p w14:paraId="36A79021" w14:textId="13B45665" w:rsidR="00803ECC" w:rsidRDefault="00803ECC" w:rsidP="00836F8A"/>
        </w:tc>
      </w:tr>
      <w:tr w:rsidR="00803ECC" w14:paraId="200ADE71" w14:textId="77777777" w:rsidTr="00836F8A">
        <w:tc>
          <w:tcPr>
            <w:tcW w:w="2776" w:type="dxa"/>
          </w:tcPr>
          <w:p w14:paraId="68DB2823" w14:textId="0E402E14" w:rsidR="00803ECC" w:rsidRDefault="00803ECC" w:rsidP="00811AAC">
            <w:r w:rsidRPr="00811AAC">
              <w:t>4.11</w:t>
            </w:r>
            <w:r w:rsidRPr="00811AAC">
              <w:tab/>
              <w:t>Responsibilities not covered by these rules</w:t>
            </w:r>
          </w:p>
          <w:p w14:paraId="7390F2C6" w14:textId="3A9FBFF3" w:rsidR="00803ECC" w:rsidRDefault="00803ECC" w:rsidP="00811AAC">
            <w:r>
              <w:t>Neighbourhood Planning</w:t>
            </w:r>
          </w:p>
        </w:tc>
        <w:tc>
          <w:tcPr>
            <w:tcW w:w="4122" w:type="dxa"/>
          </w:tcPr>
          <w:p w14:paraId="1ABE8833" w14:textId="6E2DF0A5" w:rsidR="00803ECC" w:rsidRPr="00EF7117" w:rsidRDefault="00803ECC" w:rsidP="00836F8A">
            <w:pPr>
              <w:pStyle w:val="dNormParatext"/>
              <w:ind w:left="0"/>
            </w:pPr>
            <w:r>
              <w:t>N/A – new section of 4.11</w:t>
            </w:r>
          </w:p>
        </w:tc>
        <w:tc>
          <w:tcPr>
            <w:tcW w:w="4020" w:type="dxa"/>
          </w:tcPr>
          <w:p w14:paraId="1A7BC028" w14:textId="65D0BF54" w:rsidR="00803ECC" w:rsidRPr="00EF7117" w:rsidRDefault="00803ECC" w:rsidP="00811AAC">
            <w:pPr>
              <w:pStyle w:val="dNormParatext"/>
              <w:ind w:left="0"/>
            </w:pPr>
            <w:r>
              <w:t xml:space="preserve">The Cabinet Member with the relevant portfolio will be responsible to designate the </w:t>
            </w:r>
            <w:r w:rsidRPr="008F1D3E">
              <w:t>Neighbourhood Area</w:t>
            </w:r>
            <w:r>
              <w:t xml:space="preserve">, to </w:t>
            </w:r>
            <w:r w:rsidRPr="00E056DC">
              <w:t>approve or refuse designation of neighbourhood forum</w:t>
            </w:r>
            <w:r>
              <w:t>,</w:t>
            </w:r>
            <w:r w:rsidRPr="008F1D3E">
              <w:t xml:space="preserve"> 13 weeks </w:t>
            </w:r>
            <w:r w:rsidRPr="00246A78">
              <w:t>unless multiple forum applications for the same area</w:t>
            </w:r>
            <w:r w:rsidRPr="008F1D3E">
              <w:t>.</w:t>
            </w:r>
          </w:p>
        </w:tc>
        <w:tc>
          <w:tcPr>
            <w:tcW w:w="3256" w:type="dxa"/>
            <w:vMerge/>
          </w:tcPr>
          <w:p w14:paraId="188777C7" w14:textId="4E5E5374" w:rsidR="00803ECC" w:rsidRDefault="00803ECC" w:rsidP="00836F8A"/>
        </w:tc>
      </w:tr>
      <w:tr w:rsidR="00803ECC" w14:paraId="410685A1" w14:textId="77777777" w:rsidTr="00836F8A">
        <w:tc>
          <w:tcPr>
            <w:tcW w:w="2776" w:type="dxa"/>
          </w:tcPr>
          <w:p w14:paraId="3840043D" w14:textId="77777777" w:rsidR="00803ECC" w:rsidRDefault="00803ECC" w:rsidP="00811AAC">
            <w:r w:rsidRPr="00811AAC">
              <w:lastRenderedPageBreak/>
              <w:t>4.11</w:t>
            </w:r>
            <w:r w:rsidRPr="00811AAC">
              <w:tab/>
              <w:t>Responsibilities not covered by these rules</w:t>
            </w:r>
          </w:p>
          <w:p w14:paraId="6F0797A4" w14:textId="1C9996D5" w:rsidR="00803ECC" w:rsidRDefault="00803ECC" w:rsidP="00811AAC">
            <w:r>
              <w:t>Neighbourhood Planning</w:t>
            </w:r>
          </w:p>
        </w:tc>
        <w:tc>
          <w:tcPr>
            <w:tcW w:w="4122" w:type="dxa"/>
          </w:tcPr>
          <w:p w14:paraId="11515F59" w14:textId="77777777" w:rsidR="00803ECC" w:rsidRPr="00EF7117" w:rsidRDefault="00803ECC" w:rsidP="00836F8A">
            <w:pPr>
              <w:pStyle w:val="dNormParatext"/>
              <w:ind w:left="0"/>
            </w:pPr>
          </w:p>
        </w:tc>
        <w:tc>
          <w:tcPr>
            <w:tcW w:w="4020" w:type="dxa"/>
          </w:tcPr>
          <w:p w14:paraId="79C39B0A" w14:textId="273ACFFB" w:rsidR="00803ECC" w:rsidRPr="00EF7117" w:rsidRDefault="00803ECC" w:rsidP="00836F8A">
            <w:pPr>
              <w:pStyle w:val="dNormParatext"/>
              <w:ind w:left="0"/>
            </w:pPr>
            <w:r>
              <w:t>The Cabinet Member with the relevant portfolio will be responsible to d</w:t>
            </w:r>
            <w:r w:rsidRPr="002B56C6">
              <w:t>eci</w:t>
            </w:r>
            <w:r>
              <w:t>de</w:t>
            </w:r>
            <w:r w:rsidRPr="002B56C6">
              <w:t xml:space="preserve"> on whether to proceed to referendum accepting all examiners recommendations</w:t>
            </w:r>
            <w:r>
              <w:t xml:space="preserve"> within 5 weeks.</w:t>
            </w:r>
          </w:p>
        </w:tc>
        <w:tc>
          <w:tcPr>
            <w:tcW w:w="3256" w:type="dxa"/>
            <w:vMerge/>
          </w:tcPr>
          <w:p w14:paraId="601FDA4C" w14:textId="7F1E743D" w:rsidR="00803ECC" w:rsidRDefault="00803ECC" w:rsidP="00836F8A"/>
        </w:tc>
      </w:tr>
      <w:tr w:rsidR="00811AAC" w14:paraId="5D12AE2D" w14:textId="77777777" w:rsidTr="00836F8A">
        <w:tc>
          <w:tcPr>
            <w:tcW w:w="2776" w:type="dxa"/>
          </w:tcPr>
          <w:p w14:paraId="1D93A313" w14:textId="77777777" w:rsidR="00811AAC" w:rsidRDefault="00811AAC" w:rsidP="00811AAC">
            <w:r w:rsidRPr="00811AAC">
              <w:t>4.11</w:t>
            </w:r>
            <w:r w:rsidRPr="00811AAC">
              <w:tab/>
              <w:t>Responsibilities not covered by these rules</w:t>
            </w:r>
          </w:p>
          <w:p w14:paraId="6ABD6FB1" w14:textId="7F4ECFF6" w:rsidR="00811AAC" w:rsidRDefault="00811AAC" w:rsidP="00811AAC">
            <w:r>
              <w:t>Housing</w:t>
            </w:r>
          </w:p>
        </w:tc>
        <w:tc>
          <w:tcPr>
            <w:tcW w:w="4122" w:type="dxa"/>
          </w:tcPr>
          <w:p w14:paraId="0072D95C" w14:textId="7375E8F1" w:rsidR="00811AAC" w:rsidRPr="00EF7117" w:rsidRDefault="00811AAC" w:rsidP="00836F8A">
            <w:pPr>
              <w:pStyle w:val="dNormParatext"/>
              <w:ind w:left="0"/>
            </w:pPr>
            <w:r>
              <w:t>N/A – new section of 4.11</w:t>
            </w:r>
          </w:p>
        </w:tc>
        <w:tc>
          <w:tcPr>
            <w:tcW w:w="4020" w:type="dxa"/>
          </w:tcPr>
          <w:p w14:paraId="51093BCB" w14:textId="6DBCA370" w:rsidR="00811AAC" w:rsidRPr="00EF7117" w:rsidRDefault="00811AAC" w:rsidP="00811AAC">
            <w:pPr>
              <w:pStyle w:val="dNormParatext"/>
              <w:ind w:left="0"/>
            </w:pPr>
            <w:r w:rsidRPr="00836F8A">
              <w:t xml:space="preserve">The Director of Housing will be responsible for the executive functions relating to the use of property owned within the Council’s Housing Revenue Account, and the ability to change the use and eligibility of accommodation for specific properties on a </w:t>
            </w:r>
            <w:r w:rsidRPr="00B8156B">
              <w:t>case-by-case</w:t>
            </w:r>
            <w:r w:rsidRPr="00836F8A">
              <w:t xml:space="preserve"> basis (including the ability to close accommodation), and the ability to order the demolition of accommodation.</w:t>
            </w:r>
            <w:r w:rsidRPr="00C25BAC">
              <w:t> </w:t>
            </w:r>
          </w:p>
        </w:tc>
        <w:tc>
          <w:tcPr>
            <w:tcW w:w="3256" w:type="dxa"/>
          </w:tcPr>
          <w:p w14:paraId="6A47BC60" w14:textId="1E41263A" w:rsidR="00811AAC" w:rsidRDefault="002B09A9" w:rsidP="00836F8A">
            <w:r w:rsidRPr="002B09A9">
              <w:t xml:space="preserve">The City Council faces unprecedented pressures on its housing stock, due to rising housing need and homelessness in the </w:t>
            </w:r>
            <w:proofErr w:type="gramStart"/>
            <w:r w:rsidRPr="002B09A9">
              <w:t>City</w:t>
            </w:r>
            <w:proofErr w:type="gramEnd"/>
            <w:r w:rsidRPr="002B09A9">
              <w:t xml:space="preserve">, and due to the requirements from the Social Housing Regulator to ensure compliance with the regulatory standards. The Director of Housing, in consultation with the Cabinet Member for Housing, Group Finance Director, and Director of Legal Services, along with tenant consultation, needs to be able to make faster and more responsive decisions about the use of the Council owned housing stock to meet the needs of current and future tenants. For example, the need to change eligibility of who can access certain accommodation, or the </w:t>
            </w:r>
            <w:r w:rsidRPr="002B09A9">
              <w:lastRenderedPageBreak/>
              <w:t>need to shut and decant a property if no longer met standards</w:t>
            </w:r>
          </w:p>
        </w:tc>
      </w:tr>
    </w:tbl>
    <w:p w14:paraId="7E5E7A46" w14:textId="77777777" w:rsidR="00811AAC" w:rsidRDefault="00811AAC"/>
    <w:sectPr w:rsidR="00811AAC" w:rsidSect="00811AA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AC"/>
    <w:rsid w:val="00032107"/>
    <w:rsid w:val="002B09A9"/>
    <w:rsid w:val="004006E0"/>
    <w:rsid w:val="00450F85"/>
    <w:rsid w:val="00505FDC"/>
    <w:rsid w:val="00681B8C"/>
    <w:rsid w:val="00803ECC"/>
    <w:rsid w:val="00811AAC"/>
    <w:rsid w:val="00AA5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79AA"/>
  <w15:chartTrackingRefBased/>
  <w15:docId w15:val="{71CDBA41-FCA8-40DC-842A-99DFF704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AC"/>
    <w:pPr>
      <w:spacing w:after="0" w:line="240" w:lineRule="auto"/>
    </w:pPr>
    <w:rPr>
      <w:rFonts w:ascii="Arial" w:hAnsi="Arial" w:cs="Arial"/>
    </w:rPr>
  </w:style>
  <w:style w:type="paragraph" w:styleId="Heading1">
    <w:name w:val="heading 1"/>
    <w:basedOn w:val="Normal"/>
    <w:next w:val="Normal"/>
    <w:link w:val="Heading1Char"/>
    <w:uiPriority w:val="9"/>
    <w:qFormat/>
    <w:rsid w:val="00811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A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A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A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A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A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A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A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A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A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A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A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A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AAC"/>
    <w:rPr>
      <w:rFonts w:eastAsiaTheme="majorEastAsia" w:cstheme="majorBidi"/>
      <w:color w:val="272727" w:themeColor="text1" w:themeTint="D8"/>
    </w:rPr>
  </w:style>
  <w:style w:type="paragraph" w:styleId="Title">
    <w:name w:val="Title"/>
    <w:basedOn w:val="Normal"/>
    <w:next w:val="Normal"/>
    <w:link w:val="TitleChar"/>
    <w:uiPriority w:val="10"/>
    <w:qFormat/>
    <w:rsid w:val="00811A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AAC"/>
    <w:pPr>
      <w:spacing w:before="160"/>
      <w:jc w:val="center"/>
    </w:pPr>
    <w:rPr>
      <w:i/>
      <w:iCs/>
      <w:color w:val="404040" w:themeColor="text1" w:themeTint="BF"/>
    </w:rPr>
  </w:style>
  <w:style w:type="character" w:customStyle="1" w:styleId="QuoteChar">
    <w:name w:val="Quote Char"/>
    <w:basedOn w:val="DefaultParagraphFont"/>
    <w:link w:val="Quote"/>
    <w:uiPriority w:val="29"/>
    <w:rsid w:val="00811AAC"/>
    <w:rPr>
      <w:i/>
      <w:iCs/>
      <w:color w:val="404040" w:themeColor="text1" w:themeTint="BF"/>
    </w:rPr>
  </w:style>
  <w:style w:type="paragraph" w:styleId="ListParagraph">
    <w:name w:val="List Paragraph"/>
    <w:basedOn w:val="Normal"/>
    <w:uiPriority w:val="34"/>
    <w:qFormat/>
    <w:rsid w:val="00811AAC"/>
    <w:pPr>
      <w:ind w:left="720"/>
      <w:contextualSpacing/>
    </w:pPr>
  </w:style>
  <w:style w:type="character" w:styleId="IntenseEmphasis">
    <w:name w:val="Intense Emphasis"/>
    <w:basedOn w:val="DefaultParagraphFont"/>
    <w:uiPriority w:val="21"/>
    <w:qFormat/>
    <w:rsid w:val="00811AAC"/>
    <w:rPr>
      <w:i/>
      <w:iCs/>
      <w:color w:val="0F4761" w:themeColor="accent1" w:themeShade="BF"/>
    </w:rPr>
  </w:style>
  <w:style w:type="paragraph" w:styleId="IntenseQuote">
    <w:name w:val="Intense Quote"/>
    <w:basedOn w:val="Normal"/>
    <w:next w:val="Normal"/>
    <w:link w:val="IntenseQuoteChar"/>
    <w:uiPriority w:val="30"/>
    <w:qFormat/>
    <w:rsid w:val="00811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AAC"/>
    <w:rPr>
      <w:i/>
      <w:iCs/>
      <w:color w:val="0F4761" w:themeColor="accent1" w:themeShade="BF"/>
    </w:rPr>
  </w:style>
  <w:style w:type="character" w:styleId="IntenseReference">
    <w:name w:val="Intense Reference"/>
    <w:basedOn w:val="DefaultParagraphFont"/>
    <w:uiPriority w:val="32"/>
    <w:qFormat/>
    <w:rsid w:val="00811AAC"/>
    <w:rPr>
      <w:b/>
      <w:bCs/>
      <w:smallCaps/>
      <w:color w:val="0F4761" w:themeColor="accent1" w:themeShade="BF"/>
      <w:spacing w:val="5"/>
    </w:rPr>
  </w:style>
  <w:style w:type="table" w:styleId="TableGrid">
    <w:name w:val="Table Grid"/>
    <w:basedOn w:val="TableNormal"/>
    <w:uiPriority w:val="59"/>
    <w:rsid w:val="00811AA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ormParatext">
    <w:name w:val="dNormPara text"/>
    <w:basedOn w:val="Normal"/>
    <w:link w:val="dNormParatextChar"/>
    <w:qFormat/>
    <w:rsid w:val="00811AAC"/>
    <w:pPr>
      <w:spacing w:after="120"/>
      <w:ind w:left="567"/>
    </w:pPr>
    <w:rPr>
      <w:rFonts w:eastAsia="Times New Roman" w:cs="Times New Roman"/>
      <w:kern w:val="0"/>
      <w14:ligatures w14:val="none"/>
    </w:rPr>
  </w:style>
  <w:style w:type="character" w:customStyle="1" w:styleId="dNormParatextChar">
    <w:name w:val="dNormPara text Char"/>
    <w:link w:val="dNormParatext"/>
    <w:rsid w:val="00811AAC"/>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D364B-9957-4DB7-B978-1FD2EBF2E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445</Words>
  <Characters>2537</Characters>
  <Application>Microsoft Office Word</Application>
  <DocSecurity>0</DocSecurity>
  <Lines>21</Lines>
  <Paragraphs>5</Paragraphs>
  <ScaleCrop>false</ScaleCrop>
  <Company>Oxford City Council</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MALTON Jonathan</dc:creator>
  <cp:keywords/>
  <dc:description/>
  <cp:lastModifiedBy>MALTON Jonathan</cp:lastModifiedBy>
  <cp:revision>7</cp:revision>
  <dcterms:created xsi:type="dcterms:W3CDTF">2025-07-10T12:06:00Z</dcterms:created>
  <dcterms:modified xsi:type="dcterms:W3CDTF">2025-07-10T12:54:00Z</dcterms:modified>
</cp:coreProperties>
</file>